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270" w:rsidRDefault="00463270" w:rsidP="006A42B2">
      <w:pPr>
        <w:spacing w:before="100" w:beforeAutospacing="1" w:after="100" w:afterAutospacing="1" w:line="240" w:lineRule="auto"/>
        <w:outlineLvl w:val="1"/>
        <w:rPr>
          <w:rFonts w:eastAsia="Times New Roman" w:cs="Times New Roman"/>
          <w:b/>
          <w:bCs/>
          <w:color w:val="C45911" w:themeColor="accent2" w:themeShade="BF"/>
          <w:sz w:val="32"/>
          <w:lang w:eastAsia="fr-FR"/>
        </w:rPr>
      </w:pPr>
      <w:r w:rsidRPr="00463270">
        <w:rPr>
          <w:rFonts w:eastAsia="Times New Roman" w:cs="Times New Roman"/>
          <w:b/>
          <w:bCs/>
          <w:color w:val="C45911" w:themeColor="accent2" w:themeShade="BF"/>
          <w:sz w:val="32"/>
          <w:lang w:eastAsia="fr-FR"/>
        </w:rPr>
        <w:t>Observer en classe</w:t>
      </w:r>
    </w:p>
    <w:p w:rsidR="00463270" w:rsidRPr="00463270" w:rsidRDefault="00463270" w:rsidP="00463270">
      <w:pPr>
        <w:pStyle w:val="Titre1"/>
        <w:rPr>
          <w:rFonts w:asciiTheme="minorHAnsi" w:hAnsiTheme="minorHAnsi"/>
          <w:b w:val="0"/>
          <w:bCs w:val="0"/>
          <w:i/>
          <w:kern w:val="0"/>
          <w:sz w:val="22"/>
          <w:szCs w:val="22"/>
        </w:rPr>
      </w:pPr>
      <w:r w:rsidRPr="00463270">
        <w:rPr>
          <w:rFonts w:asciiTheme="minorHAnsi" w:hAnsiTheme="minorHAnsi"/>
          <w:b w:val="0"/>
          <w:bCs w:val="0"/>
          <w:i/>
          <w:kern w:val="0"/>
          <w:sz w:val="22"/>
          <w:szCs w:val="22"/>
        </w:rPr>
        <w:t>Extrait du blog d’</w:t>
      </w:r>
      <w:hyperlink r:id="rId5" w:tooltip="Articles par Amaury Daele" w:history="1">
        <w:r w:rsidRPr="00463270">
          <w:rPr>
            <w:rFonts w:asciiTheme="minorHAnsi" w:hAnsiTheme="minorHAnsi"/>
            <w:b w:val="0"/>
            <w:bCs w:val="0"/>
            <w:i/>
            <w:kern w:val="0"/>
            <w:sz w:val="22"/>
            <w:szCs w:val="22"/>
          </w:rPr>
          <w:t xml:space="preserve">Amaury </w:t>
        </w:r>
        <w:proofErr w:type="spellStart"/>
        <w:r w:rsidRPr="00463270">
          <w:rPr>
            <w:rFonts w:asciiTheme="minorHAnsi" w:hAnsiTheme="minorHAnsi"/>
            <w:b w:val="0"/>
            <w:bCs w:val="0"/>
            <w:i/>
            <w:kern w:val="0"/>
            <w:sz w:val="22"/>
            <w:szCs w:val="22"/>
          </w:rPr>
          <w:t>Daele</w:t>
        </w:r>
        <w:proofErr w:type="spellEnd"/>
      </w:hyperlink>
      <w:r w:rsidRPr="00463270">
        <w:rPr>
          <w:rFonts w:asciiTheme="minorHAnsi" w:hAnsiTheme="minorHAnsi"/>
          <w:b w:val="0"/>
          <w:bCs w:val="0"/>
          <w:i/>
          <w:kern w:val="0"/>
          <w:sz w:val="22"/>
          <w:szCs w:val="22"/>
        </w:rPr>
        <w:t xml:space="preserve"> « </w:t>
      </w:r>
      <w:r>
        <w:rPr>
          <w:rFonts w:asciiTheme="minorHAnsi" w:hAnsiTheme="minorHAnsi"/>
          <w:b w:val="0"/>
          <w:bCs w:val="0"/>
          <w:i/>
          <w:kern w:val="0"/>
          <w:sz w:val="22"/>
          <w:szCs w:val="22"/>
        </w:rPr>
        <w:fldChar w:fldCharType="begin"/>
      </w:r>
      <w:r>
        <w:rPr>
          <w:rFonts w:asciiTheme="minorHAnsi" w:hAnsiTheme="minorHAnsi"/>
          <w:b w:val="0"/>
          <w:bCs w:val="0"/>
          <w:i/>
          <w:kern w:val="0"/>
          <w:sz w:val="22"/>
          <w:szCs w:val="22"/>
        </w:rPr>
        <w:instrText xml:space="preserve"> HYPERLINK "https://pedagogieuniversitaire.wordpress.com/2009/05/13/observer-en-classe/" \o "Pédagogie universitaire – Enseigner et Apprendre en Enseignement Supérieur" </w:instrText>
      </w:r>
      <w:r>
        <w:rPr>
          <w:rFonts w:asciiTheme="minorHAnsi" w:hAnsiTheme="minorHAnsi"/>
          <w:b w:val="0"/>
          <w:bCs w:val="0"/>
          <w:i/>
          <w:kern w:val="0"/>
          <w:sz w:val="22"/>
          <w:szCs w:val="22"/>
        </w:rPr>
      </w:r>
      <w:r>
        <w:rPr>
          <w:rFonts w:asciiTheme="minorHAnsi" w:hAnsiTheme="minorHAnsi"/>
          <w:b w:val="0"/>
          <w:bCs w:val="0"/>
          <w:i/>
          <w:kern w:val="0"/>
          <w:sz w:val="22"/>
          <w:szCs w:val="22"/>
        </w:rPr>
        <w:fldChar w:fldCharType="separate"/>
      </w:r>
      <w:r w:rsidRPr="00463270">
        <w:rPr>
          <w:rStyle w:val="Lienhypertexte"/>
          <w:rFonts w:asciiTheme="minorHAnsi" w:hAnsiTheme="minorHAnsi"/>
          <w:b w:val="0"/>
          <w:bCs w:val="0"/>
          <w:i/>
          <w:kern w:val="0"/>
          <w:sz w:val="22"/>
          <w:szCs w:val="22"/>
        </w:rPr>
        <w:t>Pédagogie universitaire – Enseigner et Apprendre en Enseignement Supérieur </w:t>
      </w:r>
      <w:r>
        <w:rPr>
          <w:rFonts w:asciiTheme="minorHAnsi" w:hAnsiTheme="minorHAnsi"/>
          <w:b w:val="0"/>
          <w:bCs w:val="0"/>
          <w:i/>
          <w:kern w:val="0"/>
          <w:sz w:val="22"/>
          <w:szCs w:val="22"/>
        </w:rPr>
        <w:fldChar w:fldCharType="end"/>
      </w:r>
      <w:r w:rsidRPr="00463270">
        <w:rPr>
          <w:rFonts w:asciiTheme="minorHAnsi" w:hAnsiTheme="minorHAnsi"/>
          <w:b w:val="0"/>
          <w:bCs w:val="0"/>
          <w:i/>
          <w:kern w:val="0"/>
          <w:sz w:val="22"/>
          <w:szCs w:val="22"/>
        </w:rPr>
        <w:t>»</w:t>
      </w:r>
    </w:p>
    <w:p w:rsidR="00463270" w:rsidRPr="00463270" w:rsidRDefault="00463270" w:rsidP="00463270">
      <w:pPr>
        <w:spacing w:before="100" w:beforeAutospacing="1" w:after="100" w:afterAutospacing="1" w:line="240" w:lineRule="auto"/>
        <w:jc w:val="both"/>
        <w:rPr>
          <w:rFonts w:eastAsia="Times New Roman" w:cs="Times New Roman"/>
          <w:lang w:eastAsia="fr-FR"/>
        </w:rPr>
      </w:pPr>
      <w:r w:rsidRPr="00463270">
        <w:rPr>
          <w:rFonts w:eastAsia="Times New Roman" w:cs="Times New Roman"/>
          <w:lang w:eastAsia="fr-FR"/>
        </w:rPr>
        <w:t xml:space="preserve">Dans le cadre de ma </w:t>
      </w:r>
      <w:bookmarkStart w:id="0" w:name="_GoBack"/>
      <w:bookmarkEnd w:id="0"/>
      <w:r w:rsidRPr="00463270">
        <w:rPr>
          <w:rFonts w:eastAsia="Times New Roman" w:cs="Times New Roman"/>
          <w:lang w:eastAsia="fr-FR"/>
        </w:rPr>
        <w:t>fonction de conseil, je suis amené de temps en temps à venir dans une classe observer le déroulement d’un cours ou d’un séminaire. Voici les quelques étapes que je suis. Un livre qui m’a bien aidé pour trouver des dimensions pertinentes d’observation et pour pratiquer un feedback constructif et formatif est celui de Marie-Cécile Wagner (1988), Pratique du micro-enseignement. Mes observations jusqu’à présent se sont déroulées avec des assistant-e-s dans deux contextes différents: une demande spontanée de la part d’</w:t>
      </w:r>
      <w:proofErr w:type="spellStart"/>
      <w:r w:rsidRPr="00463270">
        <w:rPr>
          <w:rFonts w:eastAsia="Times New Roman" w:cs="Times New Roman"/>
          <w:lang w:eastAsia="fr-FR"/>
        </w:rPr>
        <w:t>un-e</w:t>
      </w:r>
      <w:proofErr w:type="spellEnd"/>
      <w:r w:rsidRPr="00463270">
        <w:rPr>
          <w:rFonts w:eastAsia="Times New Roman" w:cs="Times New Roman"/>
          <w:lang w:eastAsia="fr-FR"/>
        </w:rPr>
        <w:t xml:space="preserve"> </w:t>
      </w:r>
      <w:proofErr w:type="spellStart"/>
      <w:r w:rsidRPr="00463270">
        <w:rPr>
          <w:rFonts w:eastAsia="Times New Roman" w:cs="Times New Roman"/>
          <w:lang w:eastAsia="fr-FR"/>
        </w:rPr>
        <w:t>assistant-e</w:t>
      </w:r>
      <w:proofErr w:type="spellEnd"/>
      <w:r w:rsidRPr="00463270">
        <w:rPr>
          <w:rFonts w:eastAsia="Times New Roman" w:cs="Times New Roman"/>
          <w:lang w:eastAsia="fr-FR"/>
        </w:rPr>
        <w:t xml:space="preserve"> ou une observation dans le cadre du module de suivi de la formation pédagogique que nous organisons ici à l’UNIL pour les assistant-e-s, il s’agit alors d’un travail d’application de la formation dans un cours ou séminaire.</w:t>
      </w:r>
    </w:p>
    <w:p w:rsidR="00463270" w:rsidRPr="00463270" w:rsidRDefault="00463270" w:rsidP="00463270">
      <w:pPr>
        <w:numPr>
          <w:ilvl w:val="0"/>
          <w:numId w:val="1"/>
        </w:numPr>
        <w:spacing w:before="100" w:beforeAutospacing="1" w:after="100" w:afterAutospacing="1" w:line="240" w:lineRule="auto"/>
        <w:jc w:val="both"/>
        <w:rPr>
          <w:rFonts w:eastAsia="Times New Roman" w:cs="Times New Roman"/>
          <w:lang w:eastAsia="fr-FR"/>
        </w:rPr>
      </w:pPr>
      <w:r w:rsidRPr="00463270">
        <w:rPr>
          <w:rFonts w:eastAsia="Times New Roman" w:cs="Times New Roman"/>
          <w:lang w:eastAsia="fr-FR"/>
        </w:rPr>
        <w:t xml:space="preserve">Je commence par organiser une réunion de préparation (30-45’). La personne décrit : </w:t>
      </w:r>
    </w:p>
    <w:p w:rsidR="00463270" w:rsidRPr="00463270" w:rsidRDefault="00463270" w:rsidP="00463270">
      <w:pPr>
        <w:numPr>
          <w:ilvl w:val="1"/>
          <w:numId w:val="1"/>
        </w:numPr>
        <w:spacing w:before="100" w:beforeAutospacing="1" w:after="100" w:afterAutospacing="1" w:line="240" w:lineRule="auto"/>
        <w:jc w:val="both"/>
        <w:rPr>
          <w:rFonts w:eastAsia="Times New Roman" w:cs="Times New Roman"/>
          <w:lang w:eastAsia="fr-FR"/>
        </w:rPr>
      </w:pPr>
      <w:r w:rsidRPr="00463270">
        <w:rPr>
          <w:rFonts w:eastAsia="Times New Roman" w:cs="Times New Roman"/>
          <w:lang w:eastAsia="fr-FR"/>
        </w:rPr>
        <w:t>Son contexte (étudiant-e-s, organisation, objectifs du cours/TP/séminaire, modes d’évaluation, stratégies d’enseignement, etc.).</w:t>
      </w:r>
    </w:p>
    <w:p w:rsidR="00463270" w:rsidRPr="00463270" w:rsidRDefault="00463270" w:rsidP="00463270">
      <w:pPr>
        <w:numPr>
          <w:ilvl w:val="1"/>
          <w:numId w:val="1"/>
        </w:numPr>
        <w:spacing w:before="100" w:beforeAutospacing="1" w:after="100" w:afterAutospacing="1" w:line="240" w:lineRule="auto"/>
        <w:jc w:val="both"/>
        <w:rPr>
          <w:rFonts w:eastAsia="Times New Roman" w:cs="Times New Roman"/>
          <w:lang w:eastAsia="fr-FR"/>
        </w:rPr>
      </w:pPr>
      <w:r w:rsidRPr="00463270">
        <w:rPr>
          <w:rFonts w:eastAsia="Times New Roman" w:cs="Times New Roman"/>
          <w:lang w:eastAsia="fr-FR"/>
        </w:rPr>
        <w:t>Des questions qu’elle se pose ou des problématiques qu’elle rencontre.</w:t>
      </w:r>
    </w:p>
    <w:p w:rsidR="00463270" w:rsidRPr="00463270" w:rsidRDefault="00463270" w:rsidP="00463270">
      <w:pPr>
        <w:spacing w:before="100" w:beforeAutospacing="1" w:after="100" w:afterAutospacing="1" w:line="240" w:lineRule="auto"/>
        <w:ind w:left="720"/>
        <w:jc w:val="both"/>
        <w:rPr>
          <w:rFonts w:eastAsia="Times New Roman" w:cs="Times New Roman"/>
          <w:lang w:eastAsia="fr-FR"/>
        </w:rPr>
      </w:pPr>
      <w:r w:rsidRPr="00463270">
        <w:rPr>
          <w:rFonts w:eastAsia="Times New Roman" w:cs="Times New Roman"/>
          <w:lang w:eastAsia="fr-FR"/>
        </w:rPr>
        <w:t xml:space="preserve">Nous décidons alors ensemble des objectifs de l’observation et du moment à filmer pendant le cours/TP/séminaire (30 minutes normalement – en général ça n’apporte pas grand-chose de plus de filmer davantage). Nous décidons aussi de la date du </w:t>
      </w:r>
      <w:proofErr w:type="spellStart"/>
      <w:r w:rsidRPr="00463270">
        <w:rPr>
          <w:rFonts w:eastAsia="Times New Roman" w:cs="Times New Roman"/>
          <w:lang w:eastAsia="fr-FR"/>
        </w:rPr>
        <w:t>debriefing</w:t>
      </w:r>
      <w:proofErr w:type="spellEnd"/>
      <w:r w:rsidRPr="00463270">
        <w:rPr>
          <w:rFonts w:eastAsia="Times New Roman" w:cs="Times New Roman"/>
          <w:lang w:eastAsia="fr-FR"/>
        </w:rPr>
        <w:t xml:space="preserve"> (pas trop longtemps après l’observation, moins d’une semaine si possible).</w:t>
      </w:r>
    </w:p>
    <w:p w:rsidR="00463270" w:rsidRPr="00463270" w:rsidRDefault="00463270" w:rsidP="00463270">
      <w:pPr>
        <w:numPr>
          <w:ilvl w:val="0"/>
          <w:numId w:val="1"/>
        </w:numPr>
        <w:spacing w:before="100" w:beforeAutospacing="1" w:after="100" w:afterAutospacing="1" w:line="240" w:lineRule="auto"/>
        <w:jc w:val="both"/>
        <w:rPr>
          <w:rFonts w:eastAsia="Times New Roman" w:cs="Times New Roman"/>
          <w:lang w:eastAsia="fr-FR"/>
        </w:rPr>
      </w:pPr>
      <w:r w:rsidRPr="00463270">
        <w:rPr>
          <w:rFonts w:eastAsia="Times New Roman" w:cs="Times New Roman"/>
          <w:lang w:eastAsia="fr-FR"/>
        </w:rPr>
        <w:t>Observation filmée en salle de classe (film de 30’). Les cours durent en général 2 X 45′. Ma fiche d’observation (</w:t>
      </w:r>
      <w:r>
        <w:rPr>
          <w:rFonts w:eastAsia="Times New Roman" w:cs="Times New Roman"/>
          <w:lang w:eastAsia="fr-FR"/>
        </w:rPr>
        <w:t>Voir ci-dessous</w:t>
      </w:r>
      <w:r w:rsidRPr="00463270">
        <w:rPr>
          <w:rFonts w:eastAsia="Times New Roman" w:cs="Times New Roman"/>
          <w:lang w:eastAsia="fr-FR"/>
        </w:rPr>
        <w:t>) est organisée en 4 colonnes: temps, actions de l’</w:t>
      </w:r>
      <w:proofErr w:type="spellStart"/>
      <w:r w:rsidRPr="00463270">
        <w:rPr>
          <w:rFonts w:eastAsia="Times New Roman" w:cs="Times New Roman"/>
          <w:lang w:eastAsia="fr-FR"/>
        </w:rPr>
        <w:t>enseignant-e</w:t>
      </w:r>
      <w:proofErr w:type="spellEnd"/>
      <w:r w:rsidRPr="00463270">
        <w:rPr>
          <w:rFonts w:eastAsia="Times New Roman" w:cs="Times New Roman"/>
          <w:lang w:eastAsia="fr-FR"/>
        </w:rPr>
        <w:t>, actions des étudiant-e-s, notes à propos des ressources et du matériel utilisé.</w:t>
      </w:r>
      <w:r w:rsidRPr="00463270">
        <w:rPr>
          <w:rFonts w:eastAsia="Times New Roman" w:cs="Times New Roman"/>
          <w:lang w:eastAsia="fr-FR"/>
        </w:rPr>
        <w:br/>
        <w:t>A la fin de la séance, un petit questionnaire (</w:t>
      </w:r>
      <w:r>
        <w:rPr>
          <w:rFonts w:eastAsia="Times New Roman" w:cs="Times New Roman"/>
          <w:lang w:eastAsia="fr-FR"/>
        </w:rPr>
        <w:t>voir ci-dessous</w:t>
      </w:r>
      <w:r w:rsidRPr="00463270">
        <w:rPr>
          <w:rFonts w:eastAsia="Times New Roman" w:cs="Times New Roman"/>
          <w:lang w:eastAsia="fr-FR"/>
        </w:rPr>
        <w:t xml:space="preserve">) pour préparer le </w:t>
      </w:r>
      <w:proofErr w:type="spellStart"/>
      <w:r w:rsidRPr="00463270">
        <w:rPr>
          <w:rFonts w:eastAsia="Times New Roman" w:cs="Times New Roman"/>
          <w:lang w:eastAsia="fr-FR"/>
        </w:rPr>
        <w:t>debriefing</w:t>
      </w:r>
      <w:proofErr w:type="spellEnd"/>
      <w:r w:rsidRPr="00463270">
        <w:rPr>
          <w:rFonts w:eastAsia="Times New Roman" w:cs="Times New Roman"/>
          <w:lang w:eastAsia="fr-FR"/>
        </w:rPr>
        <w:t xml:space="preserve"> est donné à la personne filmée. Elle le remplit en visionnant le film et me le renvoie par email avant le </w:t>
      </w:r>
      <w:proofErr w:type="spellStart"/>
      <w:r w:rsidRPr="00463270">
        <w:rPr>
          <w:rFonts w:eastAsia="Times New Roman" w:cs="Times New Roman"/>
          <w:lang w:eastAsia="fr-FR"/>
        </w:rPr>
        <w:t>debriefing</w:t>
      </w:r>
      <w:proofErr w:type="spellEnd"/>
      <w:r w:rsidRPr="00463270">
        <w:rPr>
          <w:rFonts w:eastAsia="Times New Roman" w:cs="Times New Roman"/>
          <w:lang w:eastAsia="fr-FR"/>
        </w:rPr>
        <w:t xml:space="preserve"> pour préparer la discussion. A ce niveau, plusieurs choses que je fais:</w:t>
      </w:r>
    </w:p>
    <w:p w:rsidR="00463270" w:rsidRPr="00463270" w:rsidRDefault="00463270" w:rsidP="00463270">
      <w:pPr>
        <w:numPr>
          <w:ilvl w:val="1"/>
          <w:numId w:val="1"/>
        </w:numPr>
        <w:spacing w:before="100" w:beforeAutospacing="1" w:after="100" w:afterAutospacing="1" w:line="240" w:lineRule="auto"/>
        <w:jc w:val="both"/>
        <w:rPr>
          <w:rFonts w:eastAsia="Times New Roman" w:cs="Times New Roman"/>
          <w:lang w:eastAsia="fr-FR"/>
        </w:rPr>
      </w:pPr>
      <w:r w:rsidRPr="00463270">
        <w:rPr>
          <w:rFonts w:eastAsia="Times New Roman" w:cs="Times New Roman"/>
          <w:lang w:eastAsia="fr-FR"/>
        </w:rPr>
        <w:t xml:space="preserve">il est possible que la personne n’aime pas se revoir en vidéo. Je propose alors qu’on regarde ensemble le film lors du </w:t>
      </w:r>
      <w:proofErr w:type="spellStart"/>
      <w:r w:rsidRPr="00463270">
        <w:rPr>
          <w:rFonts w:eastAsia="Times New Roman" w:cs="Times New Roman"/>
          <w:lang w:eastAsia="fr-FR"/>
        </w:rPr>
        <w:t>debriefing</w:t>
      </w:r>
      <w:proofErr w:type="spellEnd"/>
      <w:r w:rsidRPr="00463270">
        <w:rPr>
          <w:rFonts w:eastAsia="Times New Roman" w:cs="Times New Roman"/>
          <w:lang w:eastAsia="fr-FR"/>
        </w:rPr>
        <w:t xml:space="preserve"> mais elle remplit quand même le questionnaire.</w:t>
      </w:r>
    </w:p>
    <w:p w:rsidR="00463270" w:rsidRPr="00463270" w:rsidRDefault="00463270" w:rsidP="00463270">
      <w:pPr>
        <w:numPr>
          <w:ilvl w:val="1"/>
          <w:numId w:val="1"/>
        </w:numPr>
        <w:spacing w:before="100" w:beforeAutospacing="1" w:after="100" w:afterAutospacing="1" w:line="240" w:lineRule="auto"/>
        <w:jc w:val="both"/>
        <w:rPr>
          <w:rFonts w:eastAsia="Times New Roman" w:cs="Times New Roman"/>
          <w:lang w:eastAsia="fr-FR"/>
        </w:rPr>
      </w:pPr>
      <w:r w:rsidRPr="00463270">
        <w:rPr>
          <w:rFonts w:eastAsia="Times New Roman" w:cs="Times New Roman"/>
          <w:lang w:eastAsia="fr-FR"/>
        </w:rPr>
        <w:t xml:space="preserve">je ne donne pas mes notes d’observation, elles me servent uniquement pour préparer de mon côté la séance de </w:t>
      </w:r>
      <w:proofErr w:type="spellStart"/>
      <w:r w:rsidRPr="00463270">
        <w:rPr>
          <w:rFonts w:eastAsia="Times New Roman" w:cs="Times New Roman"/>
          <w:lang w:eastAsia="fr-FR"/>
        </w:rPr>
        <w:t>debriefing</w:t>
      </w:r>
      <w:proofErr w:type="spellEnd"/>
      <w:r w:rsidRPr="00463270">
        <w:rPr>
          <w:rFonts w:eastAsia="Times New Roman" w:cs="Times New Roman"/>
          <w:lang w:eastAsia="fr-FR"/>
        </w:rPr>
        <w:t>.</w:t>
      </w:r>
    </w:p>
    <w:p w:rsidR="00463270" w:rsidRPr="00463270" w:rsidRDefault="00463270" w:rsidP="00463270">
      <w:pPr>
        <w:numPr>
          <w:ilvl w:val="0"/>
          <w:numId w:val="1"/>
        </w:numPr>
        <w:spacing w:before="100" w:beforeAutospacing="1" w:after="100" w:afterAutospacing="1" w:line="240" w:lineRule="auto"/>
        <w:jc w:val="both"/>
        <w:rPr>
          <w:rFonts w:eastAsia="Times New Roman" w:cs="Times New Roman"/>
          <w:lang w:eastAsia="fr-FR"/>
        </w:rPr>
      </w:pPr>
      <w:r w:rsidRPr="00463270">
        <w:rPr>
          <w:rFonts w:eastAsia="Times New Roman" w:cs="Times New Roman"/>
          <w:lang w:eastAsia="fr-FR"/>
        </w:rPr>
        <w:t xml:space="preserve">Je prépare le </w:t>
      </w:r>
      <w:proofErr w:type="spellStart"/>
      <w:r w:rsidRPr="00463270">
        <w:rPr>
          <w:rFonts w:eastAsia="Times New Roman" w:cs="Times New Roman"/>
          <w:lang w:eastAsia="fr-FR"/>
        </w:rPr>
        <w:t>debriefing</w:t>
      </w:r>
      <w:proofErr w:type="spellEnd"/>
      <w:r w:rsidRPr="00463270">
        <w:rPr>
          <w:rFonts w:eastAsia="Times New Roman" w:cs="Times New Roman"/>
          <w:lang w:eastAsia="fr-FR"/>
        </w:rPr>
        <w:t xml:space="preserve"> sur base des questions et des représentations de la personne filmée qu’elle a rédigées dans le questionnaire (documentation, idées d’activités à tester, conseils spécifiques, etc.).</w:t>
      </w:r>
    </w:p>
    <w:p w:rsidR="00463270" w:rsidRPr="00463270" w:rsidRDefault="00463270" w:rsidP="00463270">
      <w:pPr>
        <w:numPr>
          <w:ilvl w:val="0"/>
          <w:numId w:val="1"/>
        </w:numPr>
        <w:spacing w:before="100" w:beforeAutospacing="1" w:after="100" w:afterAutospacing="1" w:line="240" w:lineRule="auto"/>
        <w:jc w:val="both"/>
        <w:rPr>
          <w:rFonts w:eastAsia="Times New Roman" w:cs="Times New Roman"/>
          <w:lang w:eastAsia="fr-FR"/>
        </w:rPr>
      </w:pPr>
      <w:r w:rsidRPr="00463270">
        <w:rPr>
          <w:rFonts w:eastAsia="Times New Roman" w:cs="Times New Roman"/>
          <w:lang w:eastAsia="fr-FR"/>
        </w:rPr>
        <w:t xml:space="preserve">Séance de </w:t>
      </w:r>
      <w:proofErr w:type="spellStart"/>
      <w:r w:rsidRPr="00463270">
        <w:rPr>
          <w:rFonts w:eastAsia="Times New Roman" w:cs="Times New Roman"/>
          <w:lang w:eastAsia="fr-FR"/>
        </w:rPr>
        <w:t>debriefing</w:t>
      </w:r>
      <w:proofErr w:type="spellEnd"/>
      <w:r w:rsidRPr="00463270">
        <w:rPr>
          <w:rFonts w:eastAsia="Times New Roman" w:cs="Times New Roman"/>
          <w:lang w:eastAsia="fr-FR"/>
        </w:rPr>
        <w:t xml:space="preserve"> : discussion sur base des questions posées. </w:t>
      </w:r>
    </w:p>
    <w:p w:rsidR="00463270" w:rsidRPr="00463270" w:rsidRDefault="00463270" w:rsidP="00463270">
      <w:pPr>
        <w:numPr>
          <w:ilvl w:val="1"/>
          <w:numId w:val="1"/>
        </w:numPr>
        <w:spacing w:before="100" w:beforeAutospacing="1" w:after="100" w:afterAutospacing="1" w:line="240" w:lineRule="auto"/>
        <w:jc w:val="both"/>
        <w:rPr>
          <w:rFonts w:eastAsia="Times New Roman" w:cs="Times New Roman"/>
          <w:lang w:eastAsia="fr-FR"/>
        </w:rPr>
      </w:pPr>
      <w:r w:rsidRPr="00463270">
        <w:rPr>
          <w:rFonts w:eastAsia="Times New Roman" w:cs="Times New Roman"/>
          <w:lang w:eastAsia="fr-FR"/>
        </w:rPr>
        <w:t>Analyse de l’observation : qu’est-ce qui s’est passé ? On reprend ici les réponses au questionnaire et on discute sur base de mes observations.</w:t>
      </w:r>
    </w:p>
    <w:p w:rsidR="00463270" w:rsidRPr="00463270" w:rsidRDefault="00463270" w:rsidP="00463270">
      <w:pPr>
        <w:numPr>
          <w:ilvl w:val="1"/>
          <w:numId w:val="1"/>
        </w:numPr>
        <w:spacing w:before="100" w:beforeAutospacing="1" w:after="100" w:afterAutospacing="1" w:line="240" w:lineRule="auto"/>
        <w:jc w:val="both"/>
        <w:rPr>
          <w:rFonts w:eastAsia="Times New Roman" w:cs="Times New Roman"/>
          <w:lang w:eastAsia="fr-FR"/>
        </w:rPr>
      </w:pPr>
      <w:r w:rsidRPr="00463270">
        <w:rPr>
          <w:rFonts w:eastAsia="Times New Roman" w:cs="Times New Roman"/>
          <w:lang w:eastAsia="fr-FR"/>
        </w:rPr>
        <w:t>Prise de décision : par la suite, que va changer ou adapter la personne dans son cours/TP/séminaire avec ses étudiant-e-s ?</w:t>
      </w:r>
    </w:p>
    <w:p w:rsidR="00463270" w:rsidRPr="00463270" w:rsidRDefault="00463270" w:rsidP="00463270">
      <w:pPr>
        <w:spacing w:before="100" w:beforeAutospacing="1" w:after="100" w:afterAutospacing="1" w:line="240" w:lineRule="auto"/>
        <w:ind w:left="720"/>
        <w:jc w:val="both"/>
        <w:rPr>
          <w:rFonts w:eastAsia="Times New Roman" w:cs="Times New Roman"/>
          <w:lang w:eastAsia="fr-FR"/>
        </w:rPr>
      </w:pPr>
      <w:r w:rsidRPr="00463270">
        <w:rPr>
          <w:rFonts w:eastAsia="Times New Roman" w:cs="Times New Roman"/>
          <w:lang w:eastAsia="fr-FR"/>
        </w:rPr>
        <w:t xml:space="preserve">Si besoin, je donne de la documentation ou fais un résumé d’une demi-page de la discussion de </w:t>
      </w:r>
      <w:proofErr w:type="spellStart"/>
      <w:r w:rsidRPr="00463270">
        <w:rPr>
          <w:rFonts w:eastAsia="Times New Roman" w:cs="Times New Roman"/>
          <w:lang w:eastAsia="fr-FR"/>
        </w:rPr>
        <w:t>debriefing</w:t>
      </w:r>
      <w:proofErr w:type="spellEnd"/>
      <w:r w:rsidRPr="00463270">
        <w:rPr>
          <w:rFonts w:eastAsia="Times New Roman" w:cs="Times New Roman"/>
          <w:lang w:eastAsia="fr-FR"/>
        </w:rPr>
        <w:t>. Pour le feedback, je n’aime pas trop me mettre en avant. Il me semble que c’est d’abord l’avis de la personne qui compte. Et surtout, l’objectif est que la personne arrive à faire l’analyse elle-même pour éventuellement par la suite réfléchir à sa pratique seule.</w:t>
      </w:r>
    </w:p>
    <w:p w:rsidR="00463270" w:rsidRPr="00463270" w:rsidRDefault="00463270" w:rsidP="00463270">
      <w:pPr>
        <w:numPr>
          <w:ilvl w:val="0"/>
          <w:numId w:val="1"/>
        </w:numPr>
        <w:spacing w:before="100" w:beforeAutospacing="1" w:after="100" w:afterAutospacing="1" w:line="240" w:lineRule="auto"/>
        <w:jc w:val="both"/>
        <w:rPr>
          <w:rFonts w:eastAsia="Times New Roman" w:cs="Times New Roman"/>
          <w:lang w:eastAsia="fr-FR"/>
        </w:rPr>
      </w:pPr>
      <w:r w:rsidRPr="00463270">
        <w:rPr>
          <w:rFonts w:eastAsia="Times New Roman" w:cs="Times New Roman"/>
          <w:lang w:eastAsia="fr-FR"/>
        </w:rPr>
        <w:t>Option : une seconde séance d’observation a lieu pour observer les nouveaux éléments discutés qui ont été éventuellement testés avec les étudiant-e-s.</w:t>
      </w:r>
    </w:p>
    <w:p w:rsidR="00463270" w:rsidRDefault="00463270">
      <w:pPr>
        <w:rPr>
          <w:rFonts w:eastAsia="Times New Roman" w:cs="Times New Roman"/>
          <w:lang w:eastAsia="fr-FR"/>
        </w:rPr>
      </w:pPr>
      <w:r>
        <w:rPr>
          <w:rFonts w:eastAsia="Times New Roman" w:cs="Times New Roman"/>
          <w:lang w:eastAsia="fr-FR"/>
        </w:rPr>
        <w:br w:type="page"/>
      </w:r>
    </w:p>
    <w:p w:rsidR="00463270" w:rsidRDefault="006A42B2" w:rsidP="00463270">
      <w:pPr>
        <w:spacing w:after="0" w:line="264" w:lineRule="atLeast"/>
        <w:jc w:val="both"/>
        <w:rPr>
          <w:rFonts w:eastAsia="Times New Roman" w:cs="Times New Roman"/>
          <w:lang w:eastAsia="fr-FR"/>
        </w:rPr>
      </w:pPr>
      <w:r>
        <w:rPr>
          <w:noProof/>
          <w:lang w:eastAsia="fr-FR"/>
        </w:rPr>
        <w:lastRenderedPageBreak/>
        <w:drawing>
          <wp:anchor distT="0" distB="0" distL="114300" distR="114300" simplePos="0" relativeHeight="251658240" behindDoc="1" locked="0" layoutInCell="1" allowOverlap="1">
            <wp:simplePos x="0" y="0"/>
            <wp:positionH relativeFrom="column">
              <wp:posOffset>-511810</wp:posOffset>
            </wp:positionH>
            <wp:positionV relativeFrom="paragraph">
              <wp:posOffset>167005</wp:posOffset>
            </wp:positionV>
            <wp:extent cx="6791325" cy="4636846"/>
            <wp:effectExtent l="0" t="0" r="0" b="0"/>
            <wp:wrapTight wrapText="bothSides">
              <wp:wrapPolygon edited="0">
                <wp:start x="0" y="0"/>
                <wp:lineTo x="0" y="21476"/>
                <wp:lineTo x="21509" y="21476"/>
                <wp:lineTo x="21509"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6791325" cy="4636846"/>
                    </a:xfrm>
                    <a:prstGeom prst="rect">
                      <a:avLst/>
                    </a:prstGeom>
                  </pic:spPr>
                </pic:pic>
              </a:graphicData>
            </a:graphic>
          </wp:anchor>
        </w:drawing>
      </w:r>
    </w:p>
    <w:p w:rsidR="00463270" w:rsidRDefault="006A42B2" w:rsidP="00463270">
      <w:pPr>
        <w:spacing w:after="0" w:line="264" w:lineRule="atLeast"/>
        <w:jc w:val="both"/>
        <w:rPr>
          <w:rFonts w:eastAsia="Times New Roman" w:cs="Times New Roman"/>
          <w:lang w:eastAsia="fr-FR"/>
        </w:rPr>
      </w:pPr>
      <w:r>
        <w:rPr>
          <w:noProof/>
          <w:lang w:eastAsia="fr-FR"/>
        </w:rPr>
        <w:lastRenderedPageBreak/>
        <w:drawing>
          <wp:inline distT="0" distB="0" distL="0" distR="0" wp14:anchorId="0E278C2C" wp14:editId="412B6EB4">
            <wp:extent cx="6217920" cy="8640341"/>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17920" cy="8640341"/>
                    </a:xfrm>
                    <a:prstGeom prst="rect">
                      <a:avLst/>
                    </a:prstGeom>
                  </pic:spPr>
                </pic:pic>
              </a:graphicData>
            </a:graphic>
          </wp:inline>
        </w:drawing>
      </w:r>
    </w:p>
    <w:p w:rsidR="00463270" w:rsidRDefault="00463270" w:rsidP="00463270">
      <w:pPr>
        <w:spacing w:after="0" w:line="264" w:lineRule="atLeast"/>
        <w:jc w:val="both"/>
        <w:rPr>
          <w:rFonts w:eastAsia="Times New Roman" w:cs="Times New Roman"/>
          <w:lang w:eastAsia="fr-FR"/>
        </w:rPr>
      </w:pPr>
    </w:p>
    <w:p w:rsidR="00463270" w:rsidRDefault="00463270" w:rsidP="00463270">
      <w:pPr>
        <w:spacing w:after="0" w:line="264" w:lineRule="atLeast"/>
        <w:jc w:val="both"/>
        <w:rPr>
          <w:rFonts w:eastAsia="Times New Roman" w:cs="Times New Roman"/>
          <w:lang w:eastAsia="fr-FR"/>
        </w:rPr>
      </w:pPr>
    </w:p>
    <w:p w:rsidR="00463270" w:rsidRDefault="00463270" w:rsidP="00463270">
      <w:pPr>
        <w:spacing w:after="0" w:line="264" w:lineRule="atLeast"/>
        <w:jc w:val="both"/>
        <w:rPr>
          <w:rFonts w:eastAsia="Times New Roman" w:cs="Times New Roman"/>
          <w:lang w:eastAsia="fr-FR"/>
        </w:rPr>
      </w:pPr>
    </w:p>
    <w:p w:rsidR="00463270" w:rsidRDefault="00463270" w:rsidP="00463270">
      <w:pPr>
        <w:spacing w:after="0" w:line="264" w:lineRule="atLeast"/>
        <w:jc w:val="both"/>
        <w:rPr>
          <w:rFonts w:eastAsia="Times New Roman" w:cs="Times New Roman"/>
          <w:lang w:eastAsia="fr-FR"/>
        </w:rPr>
      </w:pPr>
    </w:p>
    <w:p w:rsidR="00463270" w:rsidRDefault="00463270">
      <w:pPr>
        <w:rPr>
          <w:rFonts w:eastAsia="Times New Roman" w:cs="Times New Roman"/>
          <w:lang w:eastAsia="fr-FR"/>
        </w:rPr>
      </w:pPr>
      <w:r>
        <w:rPr>
          <w:rFonts w:eastAsia="Times New Roman" w:cs="Times New Roman"/>
          <w:lang w:eastAsia="fr-FR"/>
        </w:rPr>
        <w:lastRenderedPageBreak/>
        <w:br w:type="page"/>
      </w:r>
    </w:p>
    <w:p w:rsidR="00463270" w:rsidRDefault="00463270" w:rsidP="00463270">
      <w:pPr>
        <w:spacing w:after="0" w:line="264" w:lineRule="atLeast"/>
        <w:jc w:val="both"/>
        <w:rPr>
          <w:rFonts w:eastAsia="Times New Roman" w:cs="Times New Roman"/>
          <w:lang w:eastAsia="fr-FR"/>
        </w:rPr>
      </w:pPr>
    </w:p>
    <w:p w:rsidR="00463270" w:rsidRDefault="00463270" w:rsidP="00463270">
      <w:pPr>
        <w:spacing w:after="0" w:line="264" w:lineRule="atLeast"/>
        <w:jc w:val="both"/>
        <w:rPr>
          <w:rFonts w:eastAsia="Times New Roman" w:cs="Times New Roman"/>
          <w:lang w:eastAsia="fr-FR"/>
        </w:rPr>
      </w:pPr>
    </w:p>
    <w:p w:rsidR="00463270" w:rsidRPr="00463270" w:rsidRDefault="00463270" w:rsidP="00463270">
      <w:pPr>
        <w:spacing w:after="0" w:line="264" w:lineRule="atLeast"/>
        <w:jc w:val="both"/>
        <w:rPr>
          <w:rFonts w:eastAsia="Times New Roman" w:cs="Times New Roman"/>
          <w:lang w:eastAsia="fr-FR"/>
        </w:rPr>
      </w:pPr>
    </w:p>
    <w:p w:rsidR="00CF4076" w:rsidRDefault="00612E5C"/>
    <w:sectPr w:rsidR="00CF4076" w:rsidSect="00463270">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C5EEF"/>
    <w:multiLevelType w:val="multilevel"/>
    <w:tmpl w:val="A0DCAF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270"/>
    <w:rsid w:val="000B014E"/>
    <w:rsid w:val="00463270"/>
    <w:rsid w:val="00465B41"/>
    <w:rsid w:val="00612E5C"/>
    <w:rsid w:val="006A42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33D8C-D547-4DB4-9A2D-35EDAA1A7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632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3270"/>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4632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861048">
      <w:bodyDiv w:val="1"/>
      <w:marLeft w:val="0"/>
      <w:marRight w:val="0"/>
      <w:marTop w:val="0"/>
      <w:marBottom w:val="0"/>
      <w:divBdr>
        <w:top w:val="none" w:sz="0" w:space="0" w:color="auto"/>
        <w:left w:val="none" w:sz="0" w:space="0" w:color="auto"/>
        <w:bottom w:val="none" w:sz="0" w:space="0" w:color="auto"/>
        <w:right w:val="none" w:sz="0" w:space="0" w:color="auto"/>
      </w:divBdr>
      <w:divsChild>
        <w:div w:id="1160317740">
          <w:marLeft w:val="0"/>
          <w:marRight w:val="0"/>
          <w:marTop w:val="0"/>
          <w:marBottom w:val="0"/>
          <w:divBdr>
            <w:top w:val="none" w:sz="0" w:space="0" w:color="auto"/>
            <w:left w:val="none" w:sz="0" w:space="0" w:color="auto"/>
            <w:bottom w:val="none" w:sz="0" w:space="0" w:color="auto"/>
            <w:right w:val="none" w:sz="0" w:space="0" w:color="auto"/>
          </w:divBdr>
          <w:divsChild>
            <w:div w:id="310058611">
              <w:marLeft w:val="0"/>
              <w:marRight w:val="0"/>
              <w:marTop w:val="0"/>
              <w:marBottom w:val="0"/>
              <w:divBdr>
                <w:top w:val="none" w:sz="0" w:space="0" w:color="auto"/>
                <w:left w:val="none" w:sz="0" w:space="0" w:color="auto"/>
                <w:bottom w:val="none" w:sz="0" w:space="0" w:color="auto"/>
                <w:right w:val="none" w:sz="0" w:space="0" w:color="auto"/>
              </w:divBdr>
              <w:divsChild>
                <w:div w:id="363408768">
                  <w:marLeft w:val="0"/>
                  <w:marRight w:val="0"/>
                  <w:marTop w:val="0"/>
                  <w:marBottom w:val="0"/>
                  <w:divBdr>
                    <w:top w:val="none" w:sz="0" w:space="0" w:color="auto"/>
                    <w:left w:val="none" w:sz="0" w:space="0" w:color="auto"/>
                    <w:bottom w:val="none" w:sz="0" w:space="0" w:color="auto"/>
                    <w:right w:val="none" w:sz="0" w:space="0" w:color="auto"/>
                  </w:divBdr>
                </w:div>
                <w:div w:id="521166635">
                  <w:marLeft w:val="0"/>
                  <w:marRight w:val="0"/>
                  <w:marTop w:val="0"/>
                  <w:marBottom w:val="0"/>
                  <w:divBdr>
                    <w:top w:val="none" w:sz="0" w:space="0" w:color="auto"/>
                    <w:left w:val="none" w:sz="0" w:space="0" w:color="auto"/>
                    <w:bottom w:val="none" w:sz="0" w:space="0" w:color="auto"/>
                    <w:right w:val="none" w:sz="0" w:space="0" w:color="auto"/>
                  </w:divBdr>
                </w:div>
              </w:divsChild>
            </w:div>
            <w:div w:id="175777930">
              <w:marLeft w:val="0"/>
              <w:marRight w:val="0"/>
              <w:marTop w:val="0"/>
              <w:marBottom w:val="0"/>
              <w:divBdr>
                <w:top w:val="none" w:sz="0" w:space="0" w:color="auto"/>
                <w:left w:val="none" w:sz="0" w:space="0" w:color="auto"/>
                <w:bottom w:val="none" w:sz="0" w:space="0" w:color="auto"/>
                <w:right w:val="none" w:sz="0" w:space="0" w:color="auto"/>
              </w:divBdr>
              <w:divsChild>
                <w:div w:id="547646073">
                  <w:marLeft w:val="0"/>
                  <w:marRight w:val="0"/>
                  <w:marTop w:val="0"/>
                  <w:marBottom w:val="0"/>
                  <w:divBdr>
                    <w:top w:val="none" w:sz="0" w:space="0" w:color="auto"/>
                    <w:left w:val="none" w:sz="0" w:space="0" w:color="auto"/>
                    <w:bottom w:val="none" w:sz="0" w:space="0" w:color="auto"/>
                    <w:right w:val="none" w:sz="0" w:space="0" w:color="auto"/>
                  </w:divBdr>
                </w:div>
                <w:div w:id="357658392">
                  <w:marLeft w:val="0"/>
                  <w:marRight w:val="0"/>
                  <w:marTop w:val="0"/>
                  <w:marBottom w:val="0"/>
                  <w:divBdr>
                    <w:top w:val="none" w:sz="0" w:space="0" w:color="auto"/>
                    <w:left w:val="none" w:sz="0" w:space="0" w:color="auto"/>
                    <w:bottom w:val="none" w:sz="0" w:space="0" w:color="auto"/>
                    <w:right w:val="none" w:sz="0" w:space="0" w:color="auto"/>
                  </w:divBdr>
                  <w:divsChild>
                    <w:div w:id="80323027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56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edagogieuniversitaire.wordpress.com/author/adael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574</Words>
  <Characters>3158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Université de Nantes</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FLANDRIN</dc:creator>
  <cp:keywords/>
  <dc:description/>
  <cp:lastModifiedBy>Claire FLANDRIN</cp:lastModifiedBy>
  <cp:revision>1</cp:revision>
  <dcterms:created xsi:type="dcterms:W3CDTF">2019-02-22T09:26:00Z</dcterms:created>
  <dcterms:modified xsi:type="dcterms:W3CDTF">2019-02-22T09:59:00Z</dcterms:modified>
</cp:coreProperties>
</file>